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65" w:rsidRDefault="006F2965" w:rsidP="001F3FEE">
      <w:pPr>
        <w:jc w:val="center"/>
        <w:outlineLvl w:val="2"/>
        <w:rPr>
          <w:b/>
          <w:sz w:val="28"/>
          <w:szCs w:val="28"/>
        </w:rPr>
      </w:pPr>
      <w:r w:rsidRPr="00081CAC">
        <w:rPr>
          <w:b/>
          <w:sz w:val="28"/>
          <w:szCs w:val="28"/>
        </w:rPr>
        <w:t>ОСНОВНЫЕ НАПРАВЛЕНИЯ</w:t>
      </w:r>
      <w:r w:rsidR="004C0BFD">
        <w:rPr>
          <w:b/>
          <w:sz w:val="28"/>
          <w:szCs w:val="28"/>
        </w:rPr>
        <w:t xml:space="preserve"> </w:t>
      </w:r>
    </w:p>
    <w:p w:rsidR="006F2965" w:rsidRDefault="004C0BFD" w:rsidP="001F3FEE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</w:t>
      </w:r>
      <w:r w:rsidRPr="00081CAC">
        <w:rPr>
          <w:b/>
          <w:sz w:val="28"/>
          <w:szCs w:val="28"/>
        </w:rPr>
        <w:t xml:space="preserve"> налоговой политики</w:t>
      </w:r>
      <w:r w:rsidRPr="004C0BFD">
        <w:rPr>
          <w:b/>
          <w:sz w:val="28"/>
          <w:szCs w:val="28"/>
        </w:rPr>
        <w:t xml:space="preserve"> </w:t>
      </w:r>
      <w:r w:rsidR="00625AC0">
        <w:rPr>
          <w:b/>
          <w:sz w:val="28"/>
          <w:szCs w:val="28"/>
        </w:rPr>
        <w:t>Тукаевского муниципального района</w:t>
      </w:r>
    </w:p>
    <w:p w:rsidR="004C0BFD" w:rsidRDefault="004C0BFD" w:rsidP="001F3FEE">
      <w:pPr>
        <w:jc w:val="center"/>
        <w:outlineLvl w:val="2"/>
        <w:rPr>
          <w:b/>
          <w:bCs/>
          <w:sz w:val="28"/>
          <w:szCs w:val="28"/>
        </w:rPr>
      </w:pPr>
      <w:r w:rsidRPr="00081CAC">
        <w:rPr>
          <w:b/>
          <w:sz w:val="28"/>
          <w:szCs w:val="28"/>
        </w:rPr>
        <w:t>на 201</w:t>
      </w:r>
      <w:r w:rsidR="005637EC">
        <w:rPr>
          <w:b/>
          <w:sz w:val="28"/>
          <w:szCs w:val="28"/>
        </w:rPr>
        <w:t>6-2018 годы</w:t>
      </w:r>
    </w:p>
    <w:p w:rsidR="004C0BFD" w:rsidRDefault="004C0BFD" w:rsidP="001F3FEE">
      <w:pPr>
        <w:tabs>
          <w:tab w:val="left" w:pos="540"/>
        </w:tabs>
        <w:jc w:val="both"/>
        <w:outlineLvl w:val="2"/>
        <w:rPr>
          <w:b/>
          <w:bCs/>
          <w:sz w:val="28"/>
          <w:szCs w:val="28"/>
        </w:rPr>
      </w:pPr>
    </w:p>
    <w:p w:rsidR="000249DD" w:rsidRDefault="000249DD" w:rsidP="00EF02AE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CB1904">
        <w:rPr>
          <w:sz w:val="28"/>
          <w:szCs w:val="28"/>
        </w:rPr>
        <w:t>Основные направления налогов</w:t>
      </w:r>
      <w:r w:rsidR="00625AC0">
        <w:rPr>
          <w:sz w:val="28"/>
          <w:szCs w:val="28"/>
        </w:rPr>
        <w:t>ой</w:t>
      </w:r>
      <w:r w:rsidR="00B05079">
        <w:rPr>
          <w:sz w:val="28"/>
          <w:szCs w:val="28"/>
        </w:rPr>
        <w:t xml:space="preserve"> и бюджетной</w:t>
      </w:r>
      <w:r w:rsidR="00625AC0">
        <w:rPr>
          <w:sz w:val="28"/>
          <w:szCs w:val="28"/>
        </w:rPr>
        <w:t xml:space="preserve"> политики Тукаевского муниципального района</w:t>
      </w:r>
      <w:r w:rsidRPr="00CB1904">
        <w:rPr>
          <w:sz w:val="28"/>
          <w:szCs w:val="28"/>
        </w:rPr>
        <w:t xml:space="preserve"> на 201</w:t>
      </w:r>
      <w:r w:rsidR="005637EC">
        <w:rPr>
          <w:sz w:val="28"/>
          <w:szCs w:val="28"/>
        </w:rPr>
        <w:t>6 год сформированы в рамках подготовки проекта бюджета на очередной финансовый год на основании основных направлений налоговой</w:t>
      </w:r>
      <w:r w:rsidR="00B05079">
        <w:rPr>
          <w:sz w:val="28"/>
          <w:szCs w:val="28"/>
        </w:rPr>
        <w:t xml:space="preserve"> и бюджетной</w:t>
      </w:r>
      <w:r w:rsidR="005637EC">
        <w:rPr>
          <w:sz w:val="28"/>
          <w:szCs w:val="28"/>
        </w:rPr>
        <w:t xml:space="preserve"> политики Российской Федерации и Республики Татарстан на 2015 и 2016 годы и на плановый период 2017 и 2018 годов.</w:t>
      </w:r>
      <w:r w:rsidRPr="00CB1904">
        <w:rPr>
          <w:sz w:val="28"/>
          <w:szCs w:val="28"/>
        </w:rPr>
        <w:t xml:space="preserve"> В соответствии с требованиями бюджетного законодательства основные направления налоговой политики являются одним из документов, положения которого необходимо учитывать в процессе </w:t>
      </w:r>
      <w:r w:rsidR="00547A74">
        <w:rPr>
          <w:sz w:val="28"/>
          <w:szCs w:val="28"/>
        </w:rPr>
        <w:t xml:space="preserve">составления  </w:t>
      </w:r>
      <w:r w:rsidRPr="00CB1904">
        <w:rPr>
          <w:sz w:val="28"/>
          <w:szCs w:val="28"/>
        </w:rPr>
        <w:t xml:space="preserve"> </w:t>
      </w:r>
      <w:r w:rsidR="00547A74">
        <w:rPr>
          <w:sz w:val="28"/>
          <w:szCs w:val="28"/>
        </w:rPr>
        <w:t>бюджета муниципального образования</w:t>
      </w:r>
      <w:r w:rsidRPr="00C535CD">
        <w:rPr>
          <w:sz w:val="28"/>
          <w:szCs w:val="28"/>
        </w:rPr>
        <w:t>.</w:t>
      </w:r>
      <w:r w:rsidR="005637EC">
        <w:rPr>
          <w:sz w:val="28"/>
          <w:szCs w:val="28"/>
        </w:rPr>
        <w:t xml:space="preserve"> Основная цель-сохранение бюджетной устойчивости, получение необходимого объема доходов и реализация социальной политики.</w:t>
      </w:r>
    </w:p>
    <w:p w:rsidR="00B05079" w:rsidRPr="00B05079" w:rsidRDefault="00B05079" w:rsidP="00B05079">
      <w:pPr>
        <w:pStyle w:val="ad"/>
        <w:spacing w:line="288" w:lineRule="auto"/>
        <w:ind w:right="-57" w:firstLine="567"/>
        <w:rPr>
          <w:b/>
          <w:sz w:val="28"/>
          <w:szCs w:val="28"/>
        </w:rPr>
      </w:pPr>
      <w:r w:rsidRPr="00B05079">
        <w:rPr>
          <w:b/>
          <w:sz w:val="28"/>
          <w:szCs w:val="28"/>
        </w:rPr>
        <w:t xml:space="preserve">Налоговая политика.                                  </w:t>
      </w:r>
    </w:p>
    <w:p w:rsidR="00BD7060" w:rsidRPr="00C535CD" w:rsidRDefault="00BD7060" w:rsidP="00EF02AE">
      <w:pPr>
        <w:pStyle w:val="ad"/>
        <w:spacing w:line="288" w:lineRule="auto"/>
        <w:ind w:right="-57" w:firstLine="567"/>
        <w:rPr>
          <w:sz w:val="28"/>
          <w:szCs w:val="28"/>
        </w:rPr>
      </w:pPr>
      <w:r>
        <w:rPr>
          <w:sz w:val="28"/>
          <w:szCs w:val="28"/>
        </w:rPr>
        <w:t xml:space="preserve">По налогу на имущество физических лиц введен в действие новый порядок налогооблажения. Законом Республики Татарстан от 30.10.2014 года </w:t>
      </w:r>
      <w:r w:rsidRPr="00BD7060">
        <w:rPr>
          <w:sz w:val="28"/>
          <w:szCs w:val="28"/>
        </w:rPr>
        <w:t>№ 82-ЗРТ “</w:t>
      </w:r>
      <w:r>
        <w:rPr>
          <w:sz w:val="28"/>
          <w:szCs w:val="28"/>
        </w:rPr>
        <w:t xml:space="preserve">Об </w:t>
      </w:r>
      <w:r w:rsidR="00B67F41">
        <w:rPr>
          <w:sz w:val="28"/>
          <w:szCs w:val="28"/>
        </w:rPr>
        <w:t xml:space="preserve">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 исходя из кадастровой стоимости объектов налогооблажения» с 2015 года определение налоговой базы по налогу на имущество физических лиц будет производиться исходя из кадастровой стоимости.</w:t>
      </w:r>
    </w:p>
    <w:p w:rsidR="000249DD" w:rsidRPr="00C061D0" w:rsidRDefault="000249DD" w:rsidP="00EF02AE">
      <w:pPr>
        <w:pStyle w:val="ConsPlusNormal"/>
        <w:spacing w:line="288" w:lineRule="auto"/>
        <w:ind w:right="-57" w:firstLine="567"/>
        <w:jc w:val="both"/>
        <w:rPr>
          <w:rFonts w:ascii="Times New Roman" w:hAnsi="Times New Roman"/>
          <w:sz w:val="28"/>
          <w:szCs w:val="28"/>
        </w:rPr>
      </w:pPr>
      <w:r w:rsidRPr="007606FC">
        <w:rPr>
          <w:rFonts w:ascii="Times New Roman" w:hAnsi="Times New Roman"/>
          <w:sz w:val="28"/>
          <w:szCs w:val="28"/>
        </w:rPr>
        <w:t>По налогу на имущество организаций</w:t>
      </w:r>
      <w:r w:rsidR="00547A74">
        <w:rPr>
          <w:rFonts w:ascii="Times New Roman" w:hAnsi="Times New Roman"/>
          <w:sz w:val="28"/>
          <w:szCs w:val="28"/>
        </w:rPr>
        <w:t xml:space="preserve"> </w:t>
      </w:r>
      <w:r w:rsidRPr="00085ED0">
        <w:rPr>
          <w:rFonts w:ascii="Times New Roman" w:hAnsi="Times New Roman"/>
          <w:sz w:val="28"/>
          <w:szCs w:val="28"/>
        </w:rPr>
        <w:t>продолжится государственная поддержка одобренных инвестиционных проектов</w:t>
      </w:r>
      <w:r w:rsidRPr="00C061D0">
        <w:rPr>
          <w:rFonts w:ascii="Times New Roman" w:hAnsi="Times New Roman"/>
          <w:sz w:val="28"/>
          <w:szCs w:val="28"/>
        </w:rPr>
        <w:t xml:space="preserve">. Для создания условий инновационного развития экономики республики, ее модернизации, обеспечения конкурентоспособности отечественных товаров на внутреннем и внешнем рынках, продлена льгота технопаркам,  индустриальным паркам, инновационно-технологическим центрам, </w:t>
      </w:r>
      <w:r w:rsidRPr="00C061D0">
        <w:rPr>
          <w:rFonts w:ascii="Times New Roman" w:hAnsi="Times New Roman" w:cs="Times New Roman"/>
          <w:sz w:val="28"/>
          <w:szCs w:val="28"/>
        </w:rPr>
        <w:t xml:space="preserve"> научно-исследовательским и конструкторским учреждениям</w:t>
      </w:r>
      <w:r w:rsidRPr="00C061D0">
        <w:rPr>
          <w:rFonts w:ascii="Times New Roman" w:hAnsi="Times New Roman"/>
          <w:sz w:val="28"/>
          <w:szCs w:val="28"/>
        </w:rPr>
        <w:t>.</w:t>
      </w:r>
    </w:p>
    <w:p w:rsidR="000249DD" w:rsidRPr="009A6757" w:rsidRDefault="00EF02AE" w:rsidP="00EF02AE">
      <w:pPr>
        <w:pStyle w:val="ConsPlusNormal"/>
        <w:spacing w:line="288" w:lineRule="auto"/>
        <w:ind w:right="-5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="000249DD" w:rsidRPr="009A6757">
        <w:rPr>
          <w:rFonts w:ascii="Times New Roman" w:eastAsia="MS Mincho" w:hAnsi="Times New Roman" w:cs="Times New Roman"/>
          <w:sz w:val="28"/>
          <w:szCs w:val="28"/>
          <w:lang w:eastAsia="ja-JP"/>
        </w:rPr>
        <w:t>оциальная направ</w:t>
      </w:r>
      <w:r w:rsidR="00547A7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ленность налоговой политики </w:t>
      </w:r>
      <w:r w:rsidR="000249DD" w:rsidRPr="009A67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выражена в продлении льготы по уплате налога на имущество объектам социально-культурной сферы, а также садоводческим, огородническим и дачным некоммерческим объединениям  граждан.</w:t>
      </w:r>
    </w:p>
    <w:p w:rsidR="000249DD" w:rsidRPr="00545321" w:rsidRDefault="000249DD" w:rsidP="00EF02AE">
      <w:pPr>
        <w:spacing w:line="288" w:lineRule="auto"/>
        <w:ind w:right="-57" w:firstLine="567"/>
        <w:jc w:val="both"/>
        <w:rPr>
          <w:rFonts w:eastAsiaTheme="minorHAnsi"/>
          <w:sz w:val="28"/>
          <w:szCs w:val="28"/>
          <w:lang w:eastAsia="en-US"/>
        </w:rPr>
      </w:pPr>
      <w:r w:rsidRPr="00545321">
        <w:rPr>
          <w:sz w:val="28"/>
          <w:szCs w:val="28"/>
        </w:rPr>
        <w:t>В соответствии с законодательством Республики Татарстан по налогу на им</w:t>
      </w:r>
      <w:r w:rsidR="001A2B5E">
        <w:rPr>
          <w:sz w:val="28"/>
          <w:szCs w:val="28"/>
        </w:rPr>
        <w:t xml:space="preserve">ущество организаций пролонгирована льгота в отношении имущества  </w:t>
      </w:r>
      <w:r w:rsidRPr="00545321">
        <w:rPr>
          <w:rFonts w:eastAsia="Calibri"/>
          <w:sz w:val="28"/>
          <w:szCs w:val="28"/>
        </w:rPr>
        <w:t xml:space="preserve"> </w:t>
      </w:r>
      <w:r w:rsidRPr="00545321">
        <w:rPr>
          <w:color w:val="000000"/>
          <w:sz w:val="28"/>
          <w:szCs w:val="28"/>
        </w:rPr>
        <w:t>аэродромной инфраструктуры аэропортов</w:t>
      </w:r>
      <w:r w:rsidR="001A2B5E">
        <w:rPr>
          <w:color w:val="000000"/>
          <w:sz w:val="28"/>
          <w:szCs w:val="28"/>
        </w:rPr>
        <w:t>.</w:t>
      </w:r>
      <w:r w:rsidRPr="00545321">
        <w:rPr>
          <w:color w:val="000000"/>
          <w:sz w:val="28"/>
          <w:szCs w:val="28"/>
        </w:rPr>
        <w:t xml:space="preserve"> </w:t>
      </w:r>
    </w:p>
    <w:p w:rsidR="000249DD" w:rsidRPr="00DB51EE" w:rsidRDefault="000249DD" w:rsidP="00EF02AE">
      <w:pPr>
        <w:autoSpaceDE w:val="0"/>
        <w:autoSpaceDN w:val="0"/>
        <w:adjustRightInd w:val="0"/>
        <w:spacing w:line="288" w:lineRule="auto"/>
        <w:ind w:right="-57" w:firstLine="540"/>
        <w:jc w:val="both"/>
        <w:rPr>
          <w:rFonts w:eastAsiaTheme="minorHAnsi"/>
          <w:sz w:val="28"/>
          <w:szCs w:val="28"/>
          <w:lang w:eastAsia="en-US"/>
        </w:rPr>
      </w:pPr>
      <w:r w:rsidRPr="00DB51EE">
        <w:rPr>
          <w:sz w:val="28"/>
          <w:szCs w:val="28"/>
        </w:rPr>
        <w:t xml:space="preserve">Продолжится поэтапная отмена установленной на федеральном уровне льготы по налогу на имущество организаций в отношении железнодорожных путей общего пользования, магистральных трубопроводов, линий </w:t>
      </w:r>
      <w:r w:rsidRPr="00DB51EE">
        <w:rPr>
          <w:sz w:val="28"/>
          <w:szCs w:val="28"/>
        </w:rPr>
        <w:lastRenderedPageBreak/>
        <w:t>энергопередачи с посте</w:t>
      </w:r>
      <w:r w:rsidR="001A2B5E">
        <w:rPr>
          <w:sz w:val="28"/>
          <w:szCs w:val="28"/>
        </w:rPr>
        <w:t>пенным увеличением ставки до 1,3 процента - в 2016 году,  1,6 процента - в 2017</w:t>
      </w:r>
      <w:r w:rsidRPr="00DB51EE">
        <w:rPr>
          <w:sz w:val="28"/>
          <w:szCs w:val="28"/>
        </w:rPr>
        <w:t xml:space="preserve"> го</w:t>
      </w:r>
      <w:r w:rsidR="001A2B5E">
        <w:rPr>
          <w:sz w:val="28"/>
          <w:szCs w:val="28"/>
        </w:rPr>
        <w:t>ду и 1,9 процента - в 2018</w:t>
      </w:r>
      <w:r w:rsidR="00EF02AE">
        <w:rPr>
          <w:sz w:val="28"/>
          <w:szCs w:val="28"/>
        </w:rPr>
        <w:t xml:space="preserve"> году.</w:t>
      </w:r>
    </w:p>
    <w:p w:rsidR="00EF02AE" w:rsidRPr="000964C8" w:rsidRDefault="001A2B5E" w:rsidP="000964C8">
      <w:pPr>
        <w:pStyle w:val="1"/>
        <w:ind w:right="-57" w:firstLine="709"/>
        <w:jc w:val="both"/>
        <w:rPr>
          <w:szCs w:val="28"/>
        </w:rPr>
      </w:pPr>
      <w:r>
        <w:rPr>
          <w:szCs w:val="28"/>
        </w:rPr>
        <w:t>Продлевается на 2016 год действие пониженных ставок для налогоплательщиков, применяющих</w:t>
      </w:r>
      <w:r w:rsidR="00530BDE">
        <w:rPr>
          <w:szCs w:val="28"/>
        </w:rPr>
        <w:t xml:space="preserve"> упрощенную систему налогооблажения и определивших в качестве объекта налогооблажения доходы, уменьшенные на величину расходов, в целях поддержки развития предпринимательства</w:t>
      </w:r>
      <w:r>
        <w:rPr>
          <w:szCs w:val="28"/>
        </w:rPr>
        <w:t xml:space="preserve"> в </w:t>
      </w:r>
      <w:r w:rsidR="00530BDE">
        <w:rPr>
          <w:szCs w:val="28"/>
        </w:rPr>
        <w:t>Республике Татарстан, сохранения количества налогоплательщиков и рабочих мест.</w:t>
      </w:r>
      <w:r w:rsidR="000249DD" w:rsidRPr="001B000A">
        <w:rPr>
          <w:szCs w:val="28"/>
        </w:rPr>
        <w:t xml:space="preserve"> </w:t>
      </w:r>
    </w:p>
    <w:p w:rsidR="00B05079" w:rsidRDefault="00B05079" w:rsidP="00EF02AE">
      <w:pPr>
        <w:spacing w:line="288" w:lineRule="auto"/>
        <w:ind w:right="-57"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B05079">
        <w:rPr>
          <w:rFonts w:eastAsia="Calibri"/>
          <w:b/>
          <w:sz w:val="28"/>
          <w:szCs w:val="28"/>
          <w:lang w:eastAsia="en-US"/>
        </w:rPr>
        <w:t>Бюджетная политика.</w:t>
      </w:r>
    </w:p>
    <w:p w:rsidR="00B05079" w:rsidRPr="00B05079" w:rsidRDefault="00B05079" w:rsidP="00EF02AE">
      <w:pPr>
        <w:spacing w:line="288" w:lineRule="auto"/>
        <w:ind w:right="-57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Формирование проекта бюджета на 2016 год происходит в условиях продолжающегося замедления динамики макроэкономических показателей и невысокой конъюктуры цен на энергоносители.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В</w:t>
      </w:r>
      <w:r w:rsidRPr="00BE2213"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 сегодняшних условиях замедления темпов экономического развития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одной из основополагающих задач </w:t>
      </w:r>
      <w:r w:rsidR="00B05079">
        <w:rPr>
          <w:rStyle w:val="a6"/>
          <w:rFonts w:eastAsia="Calibri"/>
          <w:b w:val="0"/>
          <w:sz w:val="28"/>
          <w:szCs w:val="28"/>
          <w:lang w:eastAsia="en-US"/>
        </w:rPr>
        <w:t>в сфере бюджетной политики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должно оставаться обеспечение долгосрочной сбалансированности и устойчивости бюджетной системы как базового принципа ответственной и эффективной бюджетной политики. При этом д</w:t>
      </w:r>
      <w:r w:rsidR="007518B7">
        <w:rPr>
          <w:rStyle w:val="a6"/>
          <w:rFonts w:eastAsia="Calibri"/>
          <w:b w:val="0"/>
          <w:sz w:val="28"/>
          <w:szCs w:val="28"/>
          <w:lang w:eastAsia="en-US"/>
        </w:rPr>
        <w:t xml:space="preserve">олжно обеспечиваться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выполнение задач, поставленных в указах Президента Российской Федерации от 7 мая 2012 года, прежде всего – повышение заработной платы отдельным категориям работников бюджетной сферы до обозначенных «дорожными» картами целевых уровней.</w:t>
      </w:r>
    </w:p>
    <w:p w:rsidR="005901DF" w:rsidRDefault="005901DF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Выполнение  указанных обязательств</w:t>
      </w:r>
      <w:r w:rsidR="00155A50">
        <w:rPr>
          <w:rStyle w:val="a6"/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требует сохранение социальной ориентации бюджета.</w:t>
      </w:r>
    </w:p>
    <w:p w:rsidR="000249DD" w:rsidRDefault="000249DD" w:rsidP="00EF02AE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D861D6">
        <w:rPr>
          <w:color w:val="000000"/>
          <w:sz w:val="28"/>
          <w:szCs w:val="28"/>
        </w:rPr>
        <w:t xml:space="preserve">Бюджетное планирование </w:t>
      </w:r>
      <w:r>
        <w:rPr>
          <w:color w:val="000000"/>
          <w:sz w:val="28"/>
          <w:szCs w:val="28"/>
        </w:rPr>
        <w:t>при разработке прое</w:t>
      </w:r>
      <w:r w:rsidR="007518B7">
        <w:rPr>
          <w:color w:val="000000"/>
          <w:sz w:val="28"/>
          <w:szCs w:val="28"/>
        </w:rPr>
        <w:t xml:space="preserve">кта бюджета </w:t>
      </w:r>
      <w:r w:rsidR="00155A50">
        <w:rPr>
          <w:color w:val="000000"/>
          <w:sz w:val="28"/>
          <w:szCs w:val="28"/>
        </w:rPr>
        <w:t xml:space="preserve"> на 2016</w:t>
      </w:r>
      <w:r>
        <w:rPr>
          <w:color w:val="000000"/>
          <w:sz w:val="28"/>
          <w:szCs w:val="28"/>
        </w:rPr>
        <w:t xml:space="preserve"> год </w:t>
      </w:r>
      <w:r w:rsidRPr="00D861D6">
        <w:rPr>
          <w:color w:val="000000"/>
          <w:sz w:val="28"/>
          <w:szCs w:val="28"/>
        </w:rPr>
        <w:t xml:space="preserve">основывается на </w:t>
      </w:r>
      <w:r>
        <w:rPr>
          <w:color w:val="000000"/>
          <w:sz w:val="28"/>
          <w:szCs w:val="28"/>
        </w:rPr>
        <w:t xml:space="preserve">использовании основных параметров </w:t>
      </w:r>
      <w:r>
        <w:rPr>
          <w:sz w:val="28"/>
          <w:szCs w:val="28"/>
        </w:rPr>
        <w:t xml:space="preserve">прогноза социально-экономического развития </w:t>
      </w:r>
      <w:r w:rsidR="007518B7">
        <w:rPr>
          <w:sz w:val="28"/>
          <w:szCs w:val="28"/>
        </w:rPr>
        <w:t>Тукаевского муниципального района.</w:t>
      </w:r>
    </w:p>
    <w:p w:rsidR="000249DD" w:rsidRDefault="000249DD" w:rsidP="00EF02AE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использ</w:t>
      </w:r>
      <w:r w:rsidR="00635A7E">
        <w:rPr>
          <w:color w:val="000000"/>
          <w:sz w:val="28"/>
          <w:szCs w:val="28"/>
        </w:rPr>
        <w:t>уются</w:t>
      </w:r>
      <w:r>
        <w:rPr>
          <w:color w:val="000000"/>
          <w:sz w:val="28"/>
          <w:szCs w:val="28"/>
        </w:rPr>
        <w:t xml:space="preserve"> следующие параметры:</w:t>
      </w:r>
    </w:p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8"/>
        <w:gridCol w:w="1588"/>
      </w:tblGrid>
      <w:tr w:rsidR="00155A50" w:rsidRPr="00DC0839" w:rsidTr="000249DD">
        <w:tc>
          <w:tcPr>
            <w:tcW w:w="4698" w:type="dxa"/>
          </w:tcPr>
          <w:p w:rsidR="00155A50" w:rsidRPr="00DC0839" w:rsidRDefault="00155A50" w:rsidP="000249DD">
            <w:pPr>
              <w:jc w:val="center"/>
            </w:pPr>
            <w:r w:rsidRPr="00DC0839">
              <w:t>Наименование</w:t>
            </w:r>
          </w:p>
        </w:tc>
        <w:tc>
          <w:tcPr>
            <w:tcW w:w="1588" w:type="dxa"/>
          </w:tcPr>
          <w:p w:rsidR="00155A50" w:rsidRPr="00DC0839" w:rsidRDefault="00155A50" w:rsidP="000249DD">
            <w:pPr>
              <w:jc w:val="center"/>
            </w:pPr>
            <w:r w:rsidRPr="00DC0839">
              <w:t>201</w:t>
            </w:r>
            <w:r>
              <w:t>6 год</w:t>
            </w:r>
          </w:p>
        </w:tc>
      </w:tr>
      <w:tr w:rsidR="00155A50" w:rsidRPr="00DC0839" w:rsidTr="000249DD">
        <w:tc>
          <w:tcPr>
            <w:tcW w:w="4698" w:type="dxa"/>
          </w:tcPr>
          <w:p w:rsidR="00155A50" w:rsidRPr="00DC0839" w:rsidRDefault="00155A50" w:rsidP="000249DD">
            <w:r>
              <w:t xml:space="preserve">Рост валового территориального </w:t>
            </w:r>
            <w:r w:rsidRPr="00DC0839">
              <w:t xml:space="preserve"> продукта, %</w:t>
            </w:r>
          </w:p>
        </w:tc>
        <w:tc>
          <w:tcPr>
            <w:tcW w:w="1588" w:type="dxa"/>
          </w:tcPr>
          <w:p w:rsidR="00155A50" w:rsidRPr="00DC0839" w:rsidRDefault="00155A50" w:rsidP="000249DD">
            <w:pPr>
              <w:jc w:val="center"/>
            </w:pPr>
            <w:r>
              <w:t>102,3</w:t>
            </w:r>
          </w:p>
        </w:tc>
      </w:tr>
    </w:tbl>
    <w:p w:rsidR="000249DD" w:rsidRDefault="000249DD" w:rsidP="000249DD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</w:p>
    <w:p w:rsidR="000249DD" w:rsidRDefault="000249DD" w:rsidP="00EF02AE">
      <w:pPr>
        <w:spacing w:line="288" w:lineRule="auto"/>
        <w:ind w:firstLine="567"/>
        <w:jc w:val="both"/>
        <w:rPr>
          <w:sz w:val="28"/>
          <w:szCs w:val="28"/>
        </w:rPr>
      </w:pPr>
      <w:r w:rsidRPr="00474E3C">
        <w:rPr>
          <w:sz w:val="28"/>
          <w:szCs w:val="28"/>
        </w:rPr>
        <w:t>При расчете расходной части консолидированн</w:t>
      </w:r>
      <w:r w:rsidR="007518B7">
        <w:rPr>
          <w:sz w:val="28"/>
          <w:szCs w:val="28"/>
        </w:rPr>
        <w:t>ого бюджета Тукаевского муниципального района</w:t>
      </w:r>
      <w:r w:rsidR="00155A50">
        <w:rPr>
          <w:sz w:val="28"/>
          <w:szCs w:val="28"/>
        </w:rPr>
        <w:t xml:space="preserve"> на 2016 год </w:t>
      </w:r>
      <w:r w:rsidRPr="00474E3C">
        <w:rPr>
          <w:sz w:val="28"/>
          <w:szCs w:val="28"/>
        </w:rPr>
        <w:t>использ</w:t>
      </w:r>
      <w:r w:rsidR="002722D0">
        <w:rPr>
          <w:sz w:val="28"/>
          <w:szCs w:val="28"/>
        </w:rPr>
        <w:t>уются</w:t>
      </w:r>
      <w:r w:rsidRPr="00474E3C">
        <w:rPr>
          <w:sz w:val="28"/>
          <w:szCs w:val="28"/>
        </w:rPr>
        <w:t xml:space="preserve"> следующие критерии:</w:t>
      </w:r>
    </w:p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p w:rsidR="00535295" w:rsidRPr="006667F2" w:rsidRDefault="00535295" w:rsidP="00535295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45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8"/>
        <w:gridCol w:w="2813"/>
      </w:tblGrid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>Заработная плата работников государственных и муниципальных бюджетных и автономных учреждений</w:t>
            </w:r>
          </w:p>
        </w:tc>
        <w:tc>
          <w:tcPr>
            <w:tcW w:w="1532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повышение с 01.10.2016 г.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</w:t>
            </w:r>
            <w:r w:rsidRPr="006667F2">
              <w:rPr>
                <w:b/>
              </w:rPr>
              <w:t>7,0</w:t>
            </w:r>
            <w:r w:rsidRPr="006667F2">
              <w:t>%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 xml:space="preserve">Заработная плата отдельных категорий работников бюджетной сферы (обозначенных в Указах Президента РФ от 07.05.2012г. №597, от 01.06.2012г. №761, от 28.12.2012г. </w:t>
            </w:r>
            <w:r w:rsidRPr="006667F2">
              <w:lastRenderedPageBreak/>
              <w:t>№1688)</w:t>
            </w:r>
          </w:p>
        </w:tc>
        <w:tc>
          <w:tcPr>
            <w:tcW w:w="1532" w:type="pct"/>
            <w:vAlign w:val="center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>
              <w:lastRenderedPageBreak/>
              <w:t>п</w:t>
            </w:r>
            <w:r w:rsidRPr="006667F2">
              <w:t>овышение осуществляется</w:t>
            </w:r>
            <w:r>
              <w:t xml:space="preserve"> </w:t>
            </w:r>
            <w:r w:rsidRPr="006667F2">
              <w:t xml:space="preserve">в соответствии с </w:t>
            </w:r>
            <w:r w:rsidRPr="006667F2">
              <w:lastRenderedPageBreak/>
              <w:t xml:space="preserve">«дорожными картами» 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lastRenderedPageBreak/>
              <w:t xml:space="preserve">Публичные обязательства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>(денежные выплаты населению)</w:t>
            </w:r>
          </w:p>
        </w:tc>
        <w:tc>
          <w:tcPr>
            <w:tcW w:w="1532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повышение с 01.01.2016 г.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</w:t>
            </w:r>
            <w:r w:rsidRPr="006667F2">
              <w:rPr>
                <w:b/>
              </w:rPr>
              <w:t>7,0</w:t>
            </w:r>
            <w:r w:rsidRPr="006667F2">
              <w:t>%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>Стипендии</w:t>
            </w:r>
          </w:p>
        </w:tc>
        <w:tc>
          <w:tcPr>
            <w:tcW w:w="1532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повышение с 01.09.2016 г.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</w:t>
            </w:r>
            <w:r w:rsidRPr="006667F2">
              <w:rPr>
                <w:b/>
              </w:rPr>
              <w:t>7,0</w:t>
            </w:r>
            <w:r w:rsidRPr="006667F2">
              <w:t>%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>Продукты питания, медикаменты</w:t>
            </w:r>
          </w:p>
        </w:tc>
        <w:tc>
          <w:tcPr>
            <w:tcW w:w="1532" w:type="pct"/>
            <w:tcBorders>
              <w:bottom w:val="single" w:sz="4" w:space="0" w:color="000000"/>
            </w:tcBorders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повышение с 01.01.2016 г.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</w:t>
            </w:r>
            <w:r w:rsidRPr="006667F2">
              <w:rPr>
                <w:b/>
              </w:rPr>
              <w:t>7,0</w:t>
            </w:r>
            <w:r w:rsidRPr="006667F2">
              <w:t>%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>Коммунальные услуги</w:t>
            </w:r>
          </w:p>
        </w:tc>
        <w:tc>
          <w:tcPr>
            <w:tcW w:w="1532" w:type="pct"/>
            <w:shd w:val="clear" w:color="auto" w:fill="FFFFFF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повышение с 01.07.2016 г.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</w:t>
            </w:r>
            <w:r w:rsidRPr="006667F2">
              <w:rPr>
                <w:b/>
              </w:rPr>
              <w:t>7,5</w:t>
            </w:r>
            <w:r w:rsidRPr="006667F2">
              <w:t>%</w:t>
            </w:r>
          </w:p>
        </w:tc>
      </w:tr>
      <w:tr w:rsidR="00535295" w:rsidRPr="006667F2" w:rsidTr="0061003B">
        <w:tc>
          <w:tcPr>
            <w:tcW w:w="3468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</w:pPr>
            <w:r w:rsidRPr="006667F2">
              <w:t xml:space="preserve">Остальные расходы </w:t>
            </w:r>
          </w:p>
        </w:tc>
        <w:tc>
          <w:tcPr>
            <w:tcW w:w="1532" w:type="pct"/>
          </w:tcPr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 xml:space="preserve">на уровне </w:t>
            </w:r>
          </w:p>
          <w:p w:rsidR="00535295" w:rsidRPr="006667F2" w:rsidRDefault="00535295" w:rsidP="0061003B">
            <w:pPr>
              <w:tabs>
                <w:tab w:val="center" w:pos="4536"/>
                <w:tab w:val="right" w:pos="9072"/>
              </w:tabs>
              <w:jc w:val="center"/>
            </w:pPr>
            <w:r w:rsidRPr="006667F2">
              <w:t>2015 г.</w:t>
            </w:r>
          </w:p>
        </w:tc>
      </w:tr>
    </w:tbl>
    <w:p w:rsidR="000249DD" w:rsidRDefault="000249DD" w:rsidP="000249DD">
      <w:pPr>
        <w:spacing w:line="276" w:lineRule="auto"/>
        <w:jc w:val="both"/>
        <w:rPr>
          <w:color w:val="000000"/>
          <w:sz w:val="28"/>
          <w:szCs w:val="28"/>
        </w:rPr>
      </w:pP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Выполнение обязательств по повышению заработной платы работников бюджетной сферы требует сохранения и усиления социальной направленности бюджета. Осуществление соответствующих бюджетных расходов будет направлено на повышение качества жизни населения, адресное решение социальных проблем.</w:t>
      </w:r>
    </w:p>
    <w:p w:rsidR="000249DD" w:rsidRPr="003F616E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Одной из важнейших задач на предстоящий период должно стать дальнейшее повышение эффективности бюджетных расходов. В частности н</w:t>
      </w:r>
      <w:r w:rsidRPr="003F616E"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еобходимо дальнейшее развитие и совершенствование с учетом новейших требований федерального законодательства развития форм оказания и финансового обеспечения государственных (муниципальных) услуг, продолжение последовательной оптимизации бюджетного сектора с выявлением неэффективных государственных (муниципальных) учреждений, с постоянным мониторингом деятельности и качества оказываемых услуг учреждениями социально-культурной сферы, дальнейш</w:t>
      </w: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ее</w:t>
      </w:r>
      <w:r w:rsidRPr="003F616E">
        <w:rPr>
          <w:rStyle w:val="a6"/>
          <w:rFonts w:eastAsia="Calibri"/>
          <w:b w:val="0"/>
          <w:bCs w:val="0"/>
          <w:sz w:val="28"/>
          <w:szCs w:val="28"/>
          <w:lang w:eastAsia="en-US"/>
        </w:rPr>
        <w:t xml:space="preserve"> усовершенствование инструментов нормативного финансирования</w:t>
      </w:r>
      <w:r>
        <w:rPr>
          <w:rStyle w:val="a6"/>
          <w:rFonts w:eastAsia="Calibri"/>
          <w:b w:val="0"/>
          <w:bCs w:val="0"/>
          <w:sz w:val="28"/>
          <w:szCs w:val="28"/>
          <w:lang w:eastAsia="en-US"/>
        </w:rPr>
        <w:t>, усиление внимания к вопросам получения государственными (муниципальными) организациями доходов от оказания платных услуг.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Важным фактором при обеспечении сбалансированности и устойчивости бюджетов всех уровней будет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Значимыми направлениями бюджетной политики на</w:t>
      </w:r>
      <w:r w:rsidR="00272381">
        <w:rPr>
          <w:rStyle w:val="a6"/>
          <w:rFonts w:eastAsia="Calibri"/>
          <w:b w:val="0"/>
          <w:sz w:val="28"/>
          <w:szCs w:val="28"/>
          <w:lang w:eastAsia="en-US"/>
        </w:rPr>
        <w:t xml:space="preserve"> очередной финансовый год</w:t>
      </w:r>
      <w:r w:rsidR="009568CC">
        <w:rPr>
          <w:rStyle w:val="a6"/>
          <w:rFonts w:eastAsia="Calibri"/>
          <w:b w:val="0"/>
          <w:sz w:val="28"/>
          <w:szCs w:val="28"/>
          <w:lang w:eastAsia="en-US"/>
        </w:rPr>
        <w:t xml:space="preserve">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будут также являться продолжение работы по совершенствованию подходов к осуществлению государственных закупок товаров, работ и услуг с учетом новых норм федерального законодательства о контрактной системе, повышение открытости и прозрачности бюджетов всех уровней и финансовой деятельности публично-правовых образований в целом, обеспечение повышения качества </w:t>
      </w:r>
      <w:r>
        <w:rPr>
          <w:rStyle w:val="a6"/>
          <w:rFonts w:eastAsia="Calibri"/>
          <w:b w:val="0"/>
          <w:sz w:val="28"/>
          <w:szCs w:val="28"/>
          <w:lang w:eastAsia="en-US"/>
        </w:rPr>
        <w:lastRenderedPageBreak/>
        <w:t>финансового менеджмента в секторе государственного управления с созданием для этого соответствующих условий организационного и стимулирующего характера, совершенствование в сфере финансового контроля и надзора в бюджетной сфере, реализация мероприятий по повышению финансовой грамотности населения.</w:t>
      </w:r>
    </w:p>
    <w:p w:rsidR="000249DD" w:rsidRDefault="000249DD" w:rsidP="00EF02AE">
      <w:pPr>
        <w:spacing w:line="288" w:lineRule="auto"/>
        <w:ind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>В сфере межбюджетны</w:t>
      </w:r>
      <w:r w:rsidR="00463EE4">
        <w:rPr>
          <w:rStyle w:val="a6"/>
          <w:rFonts w:eastAsia="Calibri"/>
          <w:b w:val="0"/>
          <w:sz w:val="28"/>
          <w:szCs w:val="28"/>
          <w:lang w:eastAsia="en-US"/>
        </w:rPr>
        <w:t>х отношений с сельскими поселениями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основной задачей будет оставаться создание условий для максимальной сбалансированности местных бюджетов всех уровней, с полным обеспечением расходных полномочий доходными источниками, а также при реализации мероприятий по выявлению резервов увеличения доходной базы местных бюджетов.</w:t>
      </w:r>
    </w:p>
    <w:p w:rsidR="00155A50" w:rsidRPr="006667F2" w:rsidRDefault="00155A50" w:rsidP="00155A50">
      <w:pPr>
        <w:spacing w:line="276" w:lineRule="auto"/>
        <w:ind w:right="-57"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     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При формировании межбюджетных отношений, начиная с</w:t>
      </w:r>
      <w:r w:rsidR="00535295">
        <w:rPr>
          <w:rStyle w:val="a6"/>
          <w:rFonts w:eastAsia="Calibri"/>
          <w:b w:val="0"/>
          <w:sz w:val="28"/>
          <w:szCs w:val="28"/>
          <w:lang w:eastAsia="en-US"/>
        </w:rPr>
        <w:t xml:space="preserve"> 2016 года, </w:t>
      </w: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учитывались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 xml:space="preserve"> планируемые изменения по отдельным доходным источникам и расход</w:t>
      </w:r>
      <w:r w:rsidR="00535295">
        <w:rPr>
          <w:rStyle w:val="a6"/>
          <w:rFonts w:eastAsia="Calibri"/>
          <w:b w:val="0"/>
          <w:sz w:val="28"/>
          <w:szCs w:val="28"/>
          <w:lang w:eastAsia="en-US"/>
        </w:rPr>
        <w:t>ным полномочиям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:</w:t>
      </w:r>
    </w:p>
    <w:p w:rsidR="00155A50" w:rsidRPr="006667F2" w:rsidRDefault="00155A50" w:rsidP="00155A50">
      <w:pPr>
        <w:spacing w:line="276" w:lineRule="auto"/>
        <w:ind w:right="-57"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ab/>
        <w:t>увеличение в соответствии с федеральным законодательством норматива зачисления в местные бюджеты платы за негативное воздействие на окружающую среду с 40 до 55 процентов за счет уменьшения федеральной доли;</w:t>
      </w:r>
    </w:p>
    <w:p w:rsidR="00155A50" w:rsidRPr="006667F2" w:rsidRDefault="00155A50" w:rsidP="00155A50">
      <w:pPr>
        <w:spacing w:line="276" w:lineRule="auto"/>
        <w:ind w:right="-57"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ab/>
        <w:t>передача на уровень муниципальных районов (городских округов) нормативов по налогу на добычу общераспространенных полезных ископаемых, ранее подлежавших зачислению в бюджет Республики Татарстан;</w:t>
      </w:r>
    </w:p>
    <w:p w:rsidR="00155A50" w:rsidRPr="006667F2" w:rsidRDefault="00155A50" w:rsidP="00155A50">
      <w:pPr>
        <w:spacing w:line="276" w:lineRule="auto"/>
        <w:ind w:right="-57" w:firstLine="56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ab/>
        <w:t>передача с уровня муниципальных районов на уровень сельских поселений ряда расходных полномочий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, в том числе:</w:t>
      </w:r>
    </w:p>
    <w:p w:rsidR="00155A50" w:rsidRPr="004366E3" w:rsidRDefault="00155A50" w:rsidP="00155A50">
      <w:pPr>
        <w:spacing w:line="276" w:lineRule="auto"/>
        <w:ind w:right="-5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ab/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,</w:t>
      </w:r>
    </w:p>
    <w:p w:rsidR="00155A50" w:rsidRPr="004366E3" w:rsidRDefault="00155A50" w:rsidP="00155A50">
      <w:pPr>
        <w:spacing w:line="276" w:lineRule="auto"/>
        <w:ind w:right="-5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ab/>
        <w:t>дорожная деятельность в отношении автомобильных дорог местного значения в границах населенных пунктов поселения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,</w:t>
      </w:r>
    </w:p>
    <w:p w:rsidR="00155A50" w:rsidRPr="004366E3" w:rsidRDefault="00155A50" w:rsidP="00155A50">
      <w:pPr>
        <w:spacing w:line="276" w:lineRule="auto"/>
        <w:ind w:right="-5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ab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,</w:t>
      </w:r>
    </w:p>
    <w:p w:rsidR="00155A50" w:rsidRPr="004366E3" w:rsidRDefault="00155A50" w:rsidP="00155A50">
      <w:pPr>
        <w:spacing w:line="276" w:lineRule="auto"/>
        <w:ind w:right="-5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>-</w:t>
      </w:r>
      <w:r w:rsidRPr="004366E3">
        <w:rPr>
          <w:rStyle w:val="a6"/>
          <w:rFonts w:eastAsia="Calibri"/>
          <w:b w:val="0"/>
          <w:sz w:val="28"/>
          <w:szCs w:val="28"/>
          <w:lang w:eastAsia="en-US"/>
        </w:rPr>
        <w:tab/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Style w:val="a6"/>
          <w:rFonts w:eastAsia="Calibri"/>
          <w:b w:val="0"/>
          <w:sz w:val="28"/>
          <w:szCs w:val="28"/>
          <w:lang w:eastAsia="en-US"/>
        </w:rPr>
        <w:t>,</w:t>
      </w:r>
    </w:p>
    <w:p w:rsidR="00155A50" w:rsidRPr="006667F2" w:rsidRDefault="00155A50" w:rsidP="00535295">
      <w:pPr>
        <w:spacing w:line="276" w:lineRule="auto"/>
        <w:ind w:right="-57"/>
        <w:jc w:val="both"/>
        <w:rPr>
          <w:rStyle w:val="a6"/>
          <w:rFonts w:eastAsia="Calibri"/>
          <w:b w:val="0"/>
          <w:sz w:val="28"/>
          <w:szCs w:val="28"/>
          <w:lang w:eastAsia="en-US"/>
        </w:rPr>
      </w:pP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с одновременным перераспределением нормативов зачисления по налогу на доходы физических лиц в размере 2 процента в пользу бюджетов сельских поселений.</w:t>
      </w:r>
    </w:p>
    <w:p w:rsidR="00155A50" w:rsidRPr="006667F2" w:rsidRDefault="00155A50" w:rsidP="00155A50">
      <w:pPr>
        <w:pStyle w:val="ad"/>
        <w:spacing w:line="276" w:lineRule="auto"/>
        <w:ind w:right="-57" w:firstLine="567"/>
        <w:rPr>
          <w:rStyle w:val="a6"/>
          <w:rFonts w:eastAsia="Calibri"/>
          <w:b w:val="0"/>
          <w:sz w:val="28"/>
          <w:szCs w:val="28"/>
          <w:lang w:eastAsia="en-US"/>
        </w:rPr>
      </w:pP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lastRenderedPageBreak/>
        <w:t xml:space="preserve">Ключевыми направлениями </w:t>
      </w:r>
      <w:r w:rsidR="00535295">
        <w:rPr>
          <w:rStyle w:val="a6"/>
          <w:rFonts w:eastAsia="Calibri"/>
          <w:b w:val="0"/>
          <w:sz w:val="28"/>
          <w:szCs w:val="28"/>
          <w:lang w:eastAsia="en-US"/>
        </w:rPr>
        <w:t>бюджетной политики в 2016 году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 xml:space="preserve"> будут оставаться формирование бюджета с учетом достижения в среднесрочной перспективе более высокой степени увязки с процессом долгосрочного стратегического планирования, дальнейшее развитие программно-целевых методов управления. При этом будет завершен подготовительный период по переходу к формированию б</w:t>
      </w:r>
      <w:r w:rsidR="00535295">
        <w:rPr>
          <w:rStyle w:val="a6"/>
          <w:rFonts w:eastAsia="Calibri"/>
          <w:b w:val="0"/>
          <w:sz w:val="28"/>
          <w:szCs w:val="28"/>
          <w:lang w:eastAsia="en-US"/>
        </w:rPr>
        <w:t xml:space="preserve">юджета на основе целевых муниципальных программ. </w:t>
      </w:r>
      <w:r w:rsidRPr="006667F2">
        <w:rPr>
          <w:rStyle w:val="a6"/>
          <w:rFonts w:eastAsia="Calibri"/>
          <w:b w:val="0"/>
          <w:sz w:val="28"/>
          <w:szCs w:val="28"/>
          <w:lang w:eastAsia="en-US"/>
        </w:rPr>
        <w:t>В результате должно произойти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</w:t>
      </w:r>
    </w:p>
    <w:p w:rsidR="00155A50" w:rsidRDefault="00155A50" w:rsidP="00155A50">
      <w:pPr>
        <w:pStyle w:val="ad"/>
        <w:spacing w:line="276" w:lineRule="auto"/>
        <w:ind w:right="-57" w:firstLine="567"/>
        <w:rPr>
          <w:rStyle w:val="a6"/>
          <w:rFonts w:eastAsia="Calibri"/>
          <w:b w:val="0"/>
          <w:sz w:val="28"/>
          <w:szCs w:val="28"/>
          <w:lang w:eastAsia="en-US"/>
        </w:rPr>
      </w:pPr>
    </w:p>
    <w:p w:rsidR="000249DD" w:rsidRDefault="00155A50" w:rsidP="0043107E">
      <w:pPr>
        <w:tabs>
          <w:tab w:val="left" w:pos="540"/>
        </w:tabs>
        <w:jc w:val="both"/>
        <w:outlineLvl w:val="2"/>
        <w:rPr>
          <w:b/>
          <w:bCs/>
          <w:sz w:val="28"/>
          <w:szCs w:val="28"/>
        </w:rPr>
      </w:pPr>
      <w:r>
        <w:rPr>
          <w:rStyle w:val="a6"/>
          <w:rFonts w:eastAsia="Calibri"/>
          <w:b w:val="0"/>
          <w:sz w:val="28"/>
          <w:szCs w:val="28"/>
          <w:lang w:eastAsia="en-US"/>
        </w:rPr>
        <w:t xml:space="preserve">  </w:t>
      </w:r>
    </w:p>
    <w:sectPr w:rsidR="000249DD" w:rsidSect="001F3FEE">
      <w:headerReference w:type="default" r:id="rId8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E7A" w:rsidRDefault="007D3E7A" w:rsidP="007F2447">
      <w:r>
        <w:separator/>
      </w:r>
    </w:p>
  </w:endnote>
  <w:endnote w:type="continuationSeparator" w:id="1">
    <w:p w:rsidR="007D3E7A" w:rsidRDefault="007D3E7A" w:rsidP="007F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E7A" w:rsidRDefault="007D3E7A" w:rsidP="007F2447">
      <w:r>
        <w:separator/>
      </w:r>
    </w:p>
  </w:footnote>
  <w:footnote w:type="continuationSeparator" w:id="1">
    <w:p w:rsidR="007D3E7A" w:rsidRDefault="007D3E7A" w:rsidP="007F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01907"/>
      <w:docPartObj>
        <w:docPartGallery w:val="Page Numbers (Top of Page)"/>
        <w:docPartUnique/>
      </w:docPartObj>
    </w:sdtPr>
    <w:sdtContent>
      <w:p w:rsidR="002722D0" w:rsidRDefault="001C39C3">
        <w:pPr>
          <w:pStyle w:val="a7"/>
          <w:jc w:val="center"/>
        </w:pPr>
        <w:fldSimple w:instr=" PAGE   \* MERGEFORMAT ">
          <w:r w:rsidR="00C1542F">
            <w:rPr>
              <w:noProof/>
            </w:rPr>
            <w:t>5</w:t>
          </w:r>
        </w:fldSimple>
      </w:p>
    </w:sdtContent>
  </w:sdt>
  <w:p w:rsidR="002722D0" w:rsidRDefault="002722D0" w:rsidP="008E086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74"/>
    <w:rsid w:val="00001EDC"/>
    <w:rsid w:val="00011A35"/>
    <w:rsid w:val="00013177"/>
    <w:rsid w:val="0001426B"/>
    <w:rsid w:val="000143DF"/>
    <w:rsid w:val="000245DE"/>
    <w:rsid w:val="000249DD"/>
    <w:rsid w:val="00024AA7"/>
    <w:rsid w:val="00034CBC"/>
    <w:rsid w:val="00037D65"/>
    <w:rsid w:val="00042ACD"/>
    <w:rsid w:val="00045249"/>
    <w:rsid w:val="0004618C"/>
    <w:rsid w:val="00051474"/>
    <w:rsid w:val="00052154"/>
    <w:rsid w:val="00052167"/>
    <w:rsid w:val="00053284"/>
    <w:rsid w:val="00057656"/>
    <w:rsid w:val="00062E85"/>
    <w:rsid w:val="0006498E"/>
    <w:rsid w:val="0006635E"/>
    <w:rsid w:val="00066D1E"/>
    <w:rsid w:val="0007574E"/>
    <w:rsid w:val="00075F14"/>
    <w:rsid w:val="000825D1"/>
    <w:rsid w:val="0008619A"/>
    <w:rsid w:val="00093177"/>
    <w:rsid w:val="000954CB"/>
    <w:rsid w:val="000964C8"/>
    <w:rsid w:val="000A04B7"/>
    <w:rsid w:val="000B6471"/>
    <w:rsid w:val="000C2741"/>
    <w:rsid w:val="000D384E"/>
    <w:rsid w:val="000D5AE2"/>
    <w:rsid w:val="000D7BCA"/>
    <w:rsid w:val="000F2E1B"/>
    <w:rsid w:val="000F7ED1"/>
    <w:rsid w:val="00102B17"/>
    <w:rsid w:val="00110452"/>
    <w:rsid w:val="00113F28"/>
    <w:rsid w:val="00113FF5"/>
    <w:rsid w:val="0011475A"/>
    <w:rsid w:val="00116D67"/>
    <w:rsid w:val="00124D71"/>
    <w:rsid w:val="00126EF9"/>
    <w:rsid w:val="001461DC"/>
    <w:rsid w:val="00146710"/>
    <w:rsid w:val="00150665"/>
    <w:rsid w:val="00155A50"/>
    <w:rsid w:val="00160A39"/>
    <w:rsid w:val="001633F1"/>
    <w:rsid w:val="001670FC"/>
    <w:rsid w:val="001737F0"/>
    <w:rsid w:val="0018626B"/>
    <w:rsid w:val="00191191"/>
    <w:rsid w:val="00191AA5"/>
    <w:rsid w:val="001973A4"/>
    <w:rsid w:val="00197A25"/>
    <w:rsid w:val="001A2B5E"/>
    <w:rsid w:val="001A562E"/>
    <w:rsid w:val="001B6FE3"/>
    <w:rsid w:val="001C39C3"/>
    <w:rsid w:val="001D3856"/>
    <w:rsid w:val="001D55DA"/>
    <w:rsid w:val="001D5C01"/>
    <w:rsid w:val="001D6A01"/>
    <w:rsid w:val="001D6F8C"/>
    <w:rsid w:val="001F3FEE"/>
    <w:rsid w:val="00210DEB"/>
    <w:rsid w:val="002139C9"/>
    <w:rsid w:val="00215B94"/>
    <w:rsid w:val="00216705"/>
    <w:rsid w:val="00216D80"/>
    <w:rsid w:val="002235C7"/>
    <w:rsid w:val="0022438A"/>
    <w:rsid w:val="0022746E"/>
    <w:rsid w:val="0023071B"/>
    <w:rsid w:val="00236C59"/>
    <w:rsid w:val="002422F4"/>
    <w:rsid w:val="00252C00"/>
    <w:rsid w:val="00254D51"/>
    <w:rsid w:val="00262323"/>
    <w:rsid w:val="00265C55"/>
    <w:rsid w:val="002722D0"/>
    <w:rsid w:val="00272381"/>
    <w:rsid w:val="002769D4"/>
    <w:rsid w:val="002A12C1"/>
    <w:rsid w:val="002A2DCB"/>
    <w:rsid w:val="002A2FB6"/>
    <w:rsid w:val="002A3C81"/>
    <w:rsid w:val="002A6A0F"/>
    <w:rsid w:val="002A76D9"/>
    <w:rsid w:val="002B4C40"/>
    <w:rsid w:val="002C223A"/>
    <w:rsid w:val="002D2866"/>
    <w:rsid w:val="002D6D61"/>
    <w:rsid w:val="002D7D37"/>
    <w:rsid w:val="002E7F5F"/>
    <w:rsid w:val="002F339A"/>
    <w:rsid w:val="002F3440"/>
    <w:rsid w:val="002F5957"/>
    <w:rsid w:val="003005EA"/>
    <w:rsid w:val="003055CB"/>
    <w:rsid w:val="00311902"/>
    <w:rsid w:val="0032098E"/>
    <w:rsid w:val="00322A0F"/>
    <w:rsid w:val="0032376E"/>
    <w:rsid w:val="003253BF"/>
    <w:rsid w:val="003325CE"/>
    <w:rsid w:val="00337278"/>
    <w:rsid w:val="003401FF"/>
    <w:rsid w:val="0035415D"/>
    <w:rsid w:val="00354DC4"/>
    <w:rsid w:val="00357F66"/>
    <w:rsid w:val="0036386B"/>
    <w:rsid w:val="00363C1D"/>
    <w:rsid w:val="00374608"/>
    <w:rsid w:val="0037639A"/>
    <w:rsid w:val="003773A0"/>
    <w:rsid w:val="003823D0"/>
    <w:rsid w:val="00385916"/>
    <w:rsid w:val="003A14C9"/>
    <w:rsid w:val="003A5A00"/>
    <w:rsid w:val="003A6150"/>
    <w:rsid w:val="003A6178"/>
    <w:rsid w:val="003B74AD"/>
    <w:rsid w:val="003C6828"/>
    <w:rsid w:val="003D571D"/>
    <w:rsid w:val="003E0B13"/>
    <w:rsid w:val="003F13E5"/>
    <w:rsid w:val="003F6E07"/>
    <w:rsid w:val="00402AA8"/>
    <w:rsid w:val="004114AD"/>
    <w:rsid w:val="00411553"/>
    <w:rsid w:val="00413475"/>
    <w:rsid w:val="00415119"/>
    <w:rsid w:val="00416940"/>
    <w:rsid w:val="004256BC"/>
    <w:rsid w:val="0043107E"/>
    <w:rsid w:val="00437EB3"/>
    <w:rsid w:val="00442796"/>
    <w:rsid w:val="0044321C"/>
    <w:rsid w:val="00443419"/>
    <w:rsid w:val="00445861"/>
    <w:rsid w:val="00446475"/>
    <w:rsid w:val="00455155"/>
    <w:rsid w:val="004562E8"/>
    <w:rsid w:val="00456807"/>
    <w:rsid w:val="00460DFF"/>
    <w:rsid w:val="0046178D"/>
    <w:rsid w:val="00461CAE"/>
    <w:rsid w:val="004634D0"/>
    <w:rsid w:val="00463EE4"/>
    <w:rsid w:val="0046489A"/>
    <w:rsid w:val="004652CA"/>
    <w:rsid w:val="00467C14"/>
    <w:rsid w:val="00474287"/>
    <w:rsid w:val="00474678"/>
    <w:rsid w:val="00477F08"/>
    <w:rsid w:val="004873E7"/>
    <w:rsid w:val="0049161B"/>
    <w:rsid w:val="0049232C"/>
    <w:rsid w:val="00496DD5"/>
    <w:rsid w:val="00497507"/>
    <w:rsid w:val="004A2D8C"/>
    <w:rsid w:val="004B40B7"/>
    <w:rsid w:val="004B6C1D"/>
    <w:rsid w:val="004C0BFD"/>
    <w:rsid w:val="004C1EDF"/>
    <w:rsid w:val="004E0F3D"/>
    <w:rsid w:val="004E44F0"/>
    <w:rsid w:val="004E7786"/>
    <w:rsid w:val="004F1899"/>
    <w:rsid w:val="004F6487"/>
    <w:rsid w:val="0050388A"/>
    <w:rsid w:val="00505A23"/>
    <w:rsid w:val="00506CE2"/>
    <w:rsid w:val="0051513B"/>
    <w:rsid w:val="00520755"/>
    <w:rsid w:val="00520BF3"/>
    <w:rsid w:val="0052309F"/>
    <w:rsid w:val="00530636"/>
    <w:rsid w:val="00530BDE"/>
    <w:rsid w:val="00535295"/>
    <w:rsid w:val="005359F9"/>
    <w:rsid w:val="0054221A"/>
    <w:rsid w:val="00547A74"/>
    <w:rsid w:val="005500A2"/>
    <w:rsid w:val="005500FB"/>
    <w:rsid w:val="005510F8"/>
    <w:rsid w:val="0055519E"/>
    <w:rsid w:val="0056355A"/>
    <w:rsid w:val="005637EC"/>
    <w:rsid w:val="005664D6"/>
    <w:rsid w:val="005725AB"/>
    <w:rsid w:val="005800E2"/>
    <w:rsid w:val="0058594C"/>
    <w:rsid w:val="005901DF"/>
    <w:rsid w:val="00592F2C"/>
    <w:rsid w:val="00594B97"/>
    <w:rsid w:val="005A1E2B"/>
    <w:rsid w:val="005A5F45"/>
    <w:rsid w:val="005A5F74"/>
    <w:rsid w:val="005A7995"/>
    <w:rsid w:val="005A7E6E"/>
    <w:rsid w:val="005B3910"/>
    <w:rsid w:val="005B4FBD"/>
    <w:rsid w:val="005B6D18"/>
    <w:rsid w:val="005C0667"/>
    <w:rsid w:val="005C2EED"/>
    <w:rsid w:val="005C31EC"/>
    <w:rsid w:val="005C6F5D"/>
    <w:rsid w:val="005C70E4"/>
    <w:rsid w:val="005D3B40"/>
    <w:rsid w:val="005D57DA"/>
    <w:rsid w:val="005E2EBD"/>
    <w:rsid w:val="005F25FF"/>
    <w:rsid w:val="005F4243"/>
    <w:rsid w:val="00602115"/>
    <w:rsid w:val="00607F53"/>
    <w:rsid w:val="00611492"/>
    <w:rsid w:val="00620C04"/>
    <w:rsid w:val="00622823"/>
    <w:rsid w:val="00624D19"/>
    <w:rsid w:val="00625AC0"/>
    <w:rsid w:val="00625E3B"/>
    <w:rsid w:val="00630BBF"/>
    <w:rsid w:val="0063107A"/>
    <w:rsid w:val="006325DE"/>
    <w:rsid w:val="00635A7E"/>
    <w:rsid w:val="0064368A"/>
    <w:rsid w:val="00643E7A"/>
    <w:rsid w:val="00646ECD"/>
    <w:rsid w:val="00655EC0"/>
    <w:rsid w:val="00667B20"/>
    <w:rsid w:val="0068003A"/>
    <w:rsid w:val="006832B5"/>
    <w:rsid w:val="006919F6"/>
    <w:rsid w:val="00692328"/>
    <w:rsid w:val="00694B22"/>
    <w:rsid w:val="00696C21"/>
    <w:rsid w:val="006A15EC"/>
    <w:rsid w:val="006A2E97"/>
    <w:rsid w:val="006A4638"/>
    <w:rsid w:val="006B29BA"/>
    <w:rsid w:val="006B320E"/>
    <w:rsid w:val="006B373D"/>
    <w:rsid w:val="006B5551"/>
    <w:rsid w:val="006B6B1C"/>
    <w:rsid w:val="006D5B9B"/>
    <w:rsid w:val="006E0A7E"/>
    <w:rsid w:val="006E1F24"/>
    <w:rsid w:val="006E59E7"/>
    <w:rsid w:val="006F2965"/>
    <w:rsid w:val="0070030E"/>
    <w:rsid w:val="0071039F"/>
    <w:rsid w:val="00710D54"/>
    <w:rsid w:val="00711283"/>
    <w:rsid w:val="00711AA6"/>
    <w:rsid w:val="007132E4"/>
    <w:rsid w:val="0071606F"/>
    <w:rsid w:val="007201DA"/>
    <w:rsid w:val="007264E7"/>
    <w:rsid w:val="0073340B"/>
    <w:rsid w:val="007518B7"/>
    <w:rsid w:val="00752F1F"/>
    <w:rsid w:val="00756B4A"/>
    <w:rsid w:val="00757518"/>
    <w:rsid w:val="007575AF"/>
    <w:rsid w:val="00762E02"/>
    <w:rsid w:val="00766435"/>
    <w:rsid w:val="007748C9"/>
    <w:rsid w:val="00775773"/>
    <w:rsid w:val="00781D9D"/>
    <w:rsid w:val="00782D70"/>
    <w:rsid w:val="007873AA"/>
    <w:rsid w:val="00793985"/>
    <w:rsid w:val="00794160"/>
    <w:rsid w:val="00794657"/>
    <w:rsid w:val="007A69EA"/>
    <w:rsid w:val="007B5B22"/>
    <w:rsid w:val="007C04CF"/>
    <w:rsid w:val="007D0F59"/>
    <w:rsid w:val="007D3D8A"/>
    <w:rsid w:val="007D3E7A"/>
    <w:rsid w:val="007E281F"/>
    <w:rsid w:val="007E4C1D"/>
    <w:rsid w:val="007F2447"/>
    <w:rsid w:val="007F5788"/>
    <w:rsid w:val="007F643F"/>
    <w:rsid w:val="007F762F"/>
    <w:rsid w:val="00803783"/>
    <w:rsid w:val="008112AE"/>
    <w:rsid w:val="00813B20"/>
    <w:rsid w:val="00815847"/>
    <w:rsid w:val="008200B9"/>
    <w:rsid w:val="00823083"/>
    <w:rsid w:val="008300EB"/>
    <w:rsid w:val="008324BE"/>
    <w:rsid w:val="008371DA"/>
    <w:rsid w:val="00841FE5"/>
    <w:rsid w:val="00843F46"/>
    <w:rsid w:val="008478C0"/>
    <w:rsid w:val="00847ED2"/>
    <w:rsid w:val="0085028A"/>
    <w:rsid w:val="00850BA4"/>
    <w:rsid w:val="00853E87"/>
    <w:rsid w:val="008559B1"/>
    <w:rsid w:val="00857250"/>
    <w:rsid w:val="008615C6"/>
    <w:rsid w:val="0086495D"/>
    <w:rsid w:val="008708BF"/>
    <w:rsid w:val="00871656"/>
    <w:rsid w:val="008717C5"/>
    <w:rsid w:val="00876384"/>
    <w:rsid w:val="00890910"/>
    <w:rsid w:val="008953AC"/>
    <w:rsid w:val="008A5428"/>
    <w:rsid w:val="008C08AA"/>
    <w:rsid w:val="008C2749"/>
    <w:rsid w:val="008D0534"/>
    <w:rsid w:val="008D2CED"/>
    <w:rsid w:val="008D46E5"/>
    <w:rsid w:val="008E086E"/>
    <w:rsid w:val="008E1056"/>
    <w:rsid w:val="00901CCB"/>
    <w:rsid w:val="00903F51"/>
    <w:rsid w:val="00906629"/>
    <w:rsid w:val="0090763F"/>
    <w:rsid w:val="0091008B"/>
    <w:rsid w:val="009115FF"/>
    <w:rsid w:val="00917911"/>
    <w:rsid w:val="00925610"/>
    <w:rsid w:val="00925F09"/>
    <w:rsid w:val="00936636"/>
    <w:rsid w:val="0093752B"/>
    <w:rsid w:val="0093784B"/>
    <w:rsid w:val="00940C43"/>
    <w:rsid w:val="0094193D"/>
    <w:rsid w:val="00950586"/>
    <w:rsid w:val="00950ADF"/>
    <w:rsid w:val="0095148B"/>
    <w:rsid w:val="0095162C"/>
    <w:rsid w:val="009548DD"/>
    <w:rsid w:val="009568CC"/>
    <w:rsid w:val="009611B9"/>
    <w:rsid w:val="00963768"/>
    <w:rsid w:val="00972B5A"/>
    <w:rsid w:val="0098089E"/>
    <w:rsid w:val="0098214C"/>
    <w:rsid w:val="00984360"/>
    <w:rsid w:val="00984E96"/>
    <w:rsid w:val="00992149"/>
    <w:rsid w:val="00997383"/>
    <w:rsid w:val="009A74B9"/>
    <w:rsid w:val="009B12C9"/>
    <w:rsid w:val="009B32B6"/>
    <w:rsid w:val="009B3F8D"/>
    <w:rsid w:val="009B59F6"/>
    <w:rsid w:val="009C71A6"/>
    <w:rsid w:val="009C72A5"/>
    <w:rsid w:val="009E2AAC"/>
    <w:rsid w:val="009F4281"/>
    <w:rsid w:val="009F775C"/>
    <w:rsid w:val="009F7A6B"/>
    <w:rsid w:val="00A006DC"/>
    <w:rsid w:val="00A03A36"/>
    <w:rsid w:val="00A03C6A"/>
    <w:rsid w:val="00A05831"/>
    <w:rsid w:val="00A05BC2"/>
    <w:rsid w:val="00A07D10"/>
    <w:rsid w:val="00A10024"/>
    <w:rsid w:val="00A16524"/>
    <w:rsid w:val="00A247C7"/>
    <w:rsid w:val="00A25AFF"/>
    <w:rsid w:val="00A2629B"/>
    <w:rsid w:val="00A32124"/>
    <w:rsid w:val="00A3433B"/>
    <w:rsid w:val="00A42AC1"/>
    <w:rsid w:val="00A44542"/>
    <w:rsid w:val="00A527DB"/>
    <w:rsid w:val="00A53138"/>
    <w:rsid w:val="00A55341"/>
    <w:rsid w:val="00A626C4"/>
    <w:rsid w:val="00A70E9F"/>
    <w:rsid w:val="00A729BF"/>
    <w:rsid w:val="00A754A7"/>
    <w:rsid w:val="00A80046"/>
    <w:rsid w:val="00A83A91"/>
    <w:rsid w:val="00AA3867"/>
    <w:rsid w:val="00AA655D"/>
    <w:rsid w:val="00AA67AC"/>
    <w:rsid w:val="00AB0BBE"/>
    <w:rsid w:val="00AB276F"/>
    <w:rsid w:val="00AB36B0"/>
    <w:rsid w:val="00AC49BC"/>
    <w:rsid w:val="00AC6354"/>
    <w:rsid w:val="00AC6B13"/>
    <w:rsid w:val="00AC73B6"/>
    <w:rsid w:val="00AC785E"/>
    <w:rsid w:val="00AD76E4"/>
    <w:rsid w:val="00AE0A55"/>
    <w:rsid w:val="00AF17EF"/>
    <w:rsid w:val="00AF1E2A"/>
    <w:rsid w:val="00B05079"/>
    <w:rsid w:val="00B05E9C"/>
    <w:rsid w:val="00B1350C"/>
    <w:rsid w:val="00B13F45"/>
    <w:rsid w:val="00B1579C"/>
    <w:rsid w:val="00B2231F"/>
    <w:rsid w:val="00B2557F"/>
    <w:rsid w:val="00B30816"/>
    <w:rsid w:val="00B33AF6"/>
    <w:rsid w:val="00B35E03"/>
    <w:rsid w:val="00B4271D"/>
    <w:rsid w:val="00B45387"/>
    <w:rsid w:val="00B47B21"/>
    <w:rsid w:val="00B51E1B"/>
    <w:rsid w:val="00B54954"/>
    <w:rsid w:val="00B62AF7"/>
    <w:rsid w:val="00B658C0"/>
    <w:rsid w:val="00B65A55"/>
    <w:rsid w:val="00B66A07"/>
    <w:rsid w:val="00B673D4"/>
    <w:rsid w:val="00B67F09"/>
    <w:rsid w:val="00B67F41"/>
    <w:rsid w:val="00B77414"/>
    <w:rsid w:val="00B8170B"/>
    <w:rsid w:val="00B84512"/>
    <w:rsid w:val="00B86206"/>
    <w:rsid w:val="00B93832"/>
    <w:rsid w:val="00BA2185"/>
    <w:rsid w:val="00BB2DA0"/>
    <w:rsid w:val="00BB4EF5"/>
    <w:rsid w:val="00BB7B1E"/>
    <w:rsid w:val="00BC51D4"/>
    <w:rsid w:val="00BD2D19"/>
    <w:rsid w:val="00BD3FF0"/>
    <w:rsid w:val="00BD7060"/>
    <w:rsid w:val="00BD7C9D"/>
    <w:rsid w:val="00BE1895"/>
    <w:rsid w:val="00BE31B6"/>
    <w:rsid w:val="00BE5CF3"/>
    <w:rsid w:val="00BF099B"/>
    <w:rsid w:val="00C00195"/>
    <w:rsid w:val="00C05B6D"/>
    <w:rsid w:val="00C06810"/>
    <w:rsid w:val="00C06F20"/>
    <w:rsid w:val="00C10FD6"/>
    <w:rsid w:val="00C1542F"/>
    <w:rsid w:val="00C22EEB"/>
    <w:rsid w:val="00C237E9"/>
    <w:rsid w:val="00C25554"/>
    <w:rsid w:val="00C352A4"/>
    <w:rsid w:val="00C354EE"/>
    <w:rsid w:val="00C36852"/>
    <w:rsid w:val="00C44D98"/>
    <w:rsid w:val="00C45B4E"/>
    <w:rsid w:val="00C54212"/>
    <w:rsid w:val="00C60753"/>
    <w:rsid w:val="00C6100E"/>
    <w:rsid w:val="00C64CB9"/>
    <w:rsid w:val="00C663BD"/>
    <w:rsid w:val="00C77BCB"/>
    <w:rsid w:val="00C81B7A"/>
    <w:rsid w:val="00C834B9"/>
    <w:rsid w:val="00CA3EF0"/>
    <w:rsid w:val="00CA410B"/>
    <w:rsid w:val="00CA549C"/>
    <w:rsid w:val="00CB167B"/>
    <w:rsid w:val="00CB3D27"/>
    <w:rsid w:val="00CB598A"/>
    <w:rsid w:val="00CE1601"/>
    <w:rsid w:val="00CE1D6C"/>
    <w:rsid w:val="00CE7642"/>
    <w:rsid w:val="00CF1DFE"/>
    <w:rsid w:val="00D020BC"/>
    <w:rsid w:val="00D02242"/>
    <w:rsid w:val="00D05111"/>
    <w:rsid w:val="00D177B7"/>
    <w:rsid w:val="00D222B2"/>
    <w:rsid w:val="00D32438"/>
    <w:rsid w:val="00D355EE"/>
    <w:rsid w:val="00D405FF"/>
    <w:rsid w:val="00D4732A"/>
    <w:rsid w:val="00D47B83"/>
    <w:rsid w:val="00D5007B"/>
    <w:rsid w:val="00D56A26"/>
    <w:rsid w:val="00D71981"/>
    <w:rsid w:val="00D743AB"/>
    <w:rsid w:val="00D75F75"/>
    <w:rsid w:val="00D77A27"/>
    <w:rsid w:val="00D84897"/>
    <w:rsid w:val="00D903EC"/>
    <w:rsid w:val="00D9187A"/>
    <w:rsid w:val="00DA1DDB"/>
    <w:rsid w:val="00DA54B1"/>
    <w:rsid w:val="00DA5F0E"/>
    <w:rsid w:val="00DA7C4A"/>
    <w:rsid w:val="00DB078C"/>
    <w:rsid w:val="00DB1D71"/>
    <w:rsid w:val="00DB367B"/>
    <w:rsid w:val="00DB6C54"/>
    <w:rsid w:val="00DC04EF"/>
    <w:rsid w:val="00DC14B4"/>
    <w:rsid w:val="00DC1EDD"/>
    <w:rsid w:val="00DE513F"/>
    <w:rsid w:val="00DE7268"/>
    <w:rsid w:val="00DF6FF1"/>
    <w:rsid w:val="00E00E24"/>
    <w:rsid w:val="00E15CD0"/>
    <w:rsid w:val="00E24571"/>
    <w:rsid w:val="00E26FA2"/>
    <w:rsid w:val="00E27067"/>
    <w:rsid w:val="00E35B4F"/>
    <w:rsid w:val="00E35DBB"/>
    <w:rsid w:val="00E42D19"/>
    <w:rsid w:val="00E44058"/>
    <w:rsid w:val="00E51536"/>
    <w:rsid w:val="00E5447B"/>
    <w:rsid w:val="00E6109F"/>
    <w:rsid w:val="00E92C49"/>
    <w:rsid w:val="00EA7242"/>
    <w:rsid w:val="00EB23F1"/>
    <w:rsid w:val="00EC354C"/>
    <w:rsid w:val="00EC539E"/>
    <w:rsid w:val="00EC681F"/>
    <w:rsid w:val="00EC7CC6"/>
    <w:rsid w:val="00ED130A"/>
    <w:rsid w:val="00ED3B58"/>
    <w:rsid w:val="00ED6013"/>
    <w:rsid w:val="00EE0C54"/>
    <w:rsid w:val="00EE33CA"/>
    <w:rsid w:val="00EE3CE6"/>
    <w:rsid w:val="00EF02AE"/>
    <w:rsid w:val="00EF4DBB"/>
    <w:rsid w:val="00F00165"/>
    <w:rsid w:val="00F029EC"/>
    <w:rsid w:val="00F074DE"/>
    <w:rsid w:val="00F13B6B"/>
    <w:rsid w:val="00F17575"/>
    <w:rsid w:val="00F2738D"/>
    <w:rsid w:val="00F3039F"/>
    <w:rsid w:val="00F47FA8"/>
    <w:rsid w:val="00F56CED"/>
    <w:rsid w:val="00F61389"/>
    <w:rsid w:val="00F729C9"/>
    <w:rsid w:val="00F74952"/>
    <w:rsid w:val="00F87BB6"/>
    <w:rsid w:val="00F95C74"/>
    <w:rsid w:val="00F96808"/>
    <w:rsid w:val="00FA304B"/>
    <w:rsid w:val="00FA4F76"/>
    <w:rsid w:val="00FA6C3A"/>
    <w:rsid w:val="00FB4B77"/>
    <w:rsid w:val="00FB6A64"/>
    <w:rsid w:val="00FC152B"/>
    <w:rsid w:val="00FC7E62"/>
    <w:rsid w:val="00FE3819"/>
    <w:rsid w:val="00FE6138"/>
    <w:rsid w:val="00FF1680"/>
    <w:rsid w:val="00FF6425"/>
    <w:rsid w:val="00FF6605"/>
    <w:rsid w:val="00FF6A26"/>
    <w:rsid w:val="00FF6D63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4"/>
    <w:pPr>
      <w:jc w:val="left"/>
    </w:pPr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A5F74"/>
    <w:rPr>
      <w:rFonts w:eastAsia="MS Mincho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5A5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qFormat/>
    <w:rsid w:val="005A5F74"/>
    <w:rPr>
      <w:b/>
      <w:bCs/>
    </w:rPr>
  </w:style>
  <w:style w:type="paragraph" w:styleId="a7">
    <w:name w:val="header"/>
    <w:basedOn w:val="a"/>
    <w:link w:val="a8"/>
    <w:uiPriority w:val="99"/>
    <w:unhideWhenUsed/>
    <w:rsid w:val="005A5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F74"/>
    <w:rPr>
      <w:rFonts w:eastAsia="MS Mincho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B2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DA0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Body Text"/>
    <w:basedOn w:val="a"/>
    <w:link w:val="ac"/>
    <w:uiPriority w:val="99"/>
    <w:semiHidden/>
    <w:unhideWhenUsed/>
    <w:rsid w:val="004C0B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C0BFD"/>
    <w:rPr>
      <w:rFonts w:eastAsia="MS Mincho"/>
      <w:sz w:val="24"/>
      <w:szCs w:val="24"/>
      <w:lang w:eastAsia="ja-JP"/>
    </w:rPr>
  </w:style>
  <w:style w:type="paragraph" w:customStyle="1" w:styleId="ad">
    <w:name w:val="ЭЭГ"/>
    <w:basedOn w:val="a"/>
    <w:rsid w:val="004C0BFD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rsid w:val="004C0BFD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C0BFD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A38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A3867"/>
    <w:rPr>
      <w:rFonts w:eastAsia="MS Mincho"/>
      <w:sz w:val="24"/>
      <w:szCs w:val="24"/>
      <w:lang w:eastAsia="ja-JP"/>
    </w:rPr>
  </w:style>
  <w:style w:type="paragraph" w:customStyle="1" w:styleId="1">
    <w:name w:val="Ñòèëü1"/>
    <w:basedOn w:val="a"/>
    <w:rsid w:val="0043107E"/>
    <w:pPr>
      <w:spacing w:line="288" w:lineRule="auto"/>
    </w:pPr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5A9A7-9354-46C0-B54A-E697D882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1414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Irina.ermolenko</dc:creator>
  <cp:lastModifiedBy>Tuka-Elvira</cp:lastModifiedBy>
  <cp:revision>2</cp:revision>
  <cp:lastPrinted>2015-11-16T04:52:00Z</cp:lastPrinted>
  <dcterms:created xsi:type="dcterms:W3CDTF">2015-11-16T04:56:00Z</dcterms:created>
  <dcterms:modified xsi:type="dcterms:W3CDTF">2015-11-16T04:56:00Z</dcterms:modified>
</cp:coreProperties>
</file>